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63CC" w14:textId="2098EAE9" w:rsidR="00B24BC1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</w:pPr>
      <w:r w:rsidRPr="00B24BC1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>Références ADMÉE-Europe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 xml:space="preserve"> 2026</w:t>
      </w:r>
      <w:r w:rsidRPr="00B24BC1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>, Note-O-Matic</w:t>
      </w:r>
    </w:p>
    <w:p w14:paraId="23BB57CC" w14:textId="77777777" w:rsidR="00B24BC1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</w:pPr>
    </w:p>
    <w:p w14:paraId="2E55C61E" w14:textId="6B53B08D" w:rsidR="00B24BC1" w:rsidRPr="00B24BC1" w:rsidRDefault="00B24BC1" w:rsidP="00B24BC1">
      <w:pPr>
        <w:pStyle w:val="EndNoteBibliography"/>
        <w:spacing w:after="0"/>
        <w:ind w:left="720" w:hanging="72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</w:pPr>
      <w:r w:rsidRPr="00B24BC1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  <w:lang w:val="fr-CA"/>
        </w:rPr>
        <w:t>Repenser la correction avec l’intelligence artificielle : enjeux éthiques et pédagogiques</w:t>
      </w:r>
    </w:p>
    <w:p w14:paraId="65841858" w14:textId="2A4A62D0" w:rsidR="00B24BC1" w:rsidRPr="00B24BC1" w:rsidRDefault="00B24BC1" w:rsidP="00B24BC1">
      <w:pPr>
        <w:pStyle w:val="EndNoteBibliography"/>
        <w:spacing w:after="0"/>
        <w:ind w:left="720" w:hanging="720"/>
        <w:jc w:val="center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B24BC1">
        <w:rPr>
          <w:rFonts w:ascii="Arial" w:hAnsi="Arial" w:cs="Arial"/>
          <w:color w:val="000000" w:themeColor="text1"/>
          <w:sz w:val="24"/>
          <w:szCs w:val="24"/>
          <w:lang w:val="fr-CA"/>
        </w:rPr>
        <w:t>Martine Peters, Mélissande Trottin, Dolorès Grossemy</w:t>
      </w:r>
    </w:p>
    <w:p w14:paraId="3E116204" w14:textId="77777777" w:rsidR="00B24BC1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1AE2DD1D" w14:textId="77777777" w:rsidR="00B24BC1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76998B60" w14:textId="76FAFCD8" w:rsidR="00B24BC1" w:rsidRPr="00C177AC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  <w:r w:rsidRPr="00C177AC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 3</w:t>
      </w:r>
      <w:r w:rsidR="00C177AC" w:rsidRPr="00C177AC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: Introduction: </w:t>
      </w:r>
      <w:r w:rsidR="00C177AC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utilisation d</w:t>
      </w:r>
      <w:r w:rsidR="00EA1EB0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e l</w:t>
      </w:r>
      <w:r w:rsidR="00C177AC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’IA</w:t>
      </w:r>
    </w:p>
    <w:p w14:paraId="5B5936DA" w14:textId="77777777" w:rsidR="00E12809" w:rsidRPr="00D7426D" w:rsidRDefault="00E12809" w:rsidP="00E12809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29624C">
        <w:rPr>
          <w:rFonts w:ascii="Arial" w:hAnsi="Arial" w:cs="Arial"/>
          <w:sz w:val="24"/>
          <w:szCs w:val="24"/>
          <w:lang w:val="fr-CA"/>
        </w:rPr>
        <w:t xml:space="preserve">Ng, D. T. K., Leung, J. K. L., Su, M. J., Yim, I. H. Y., Qiao, M. S. et Chu, S. K. W. (2022). </w:t>
      </w:r>
      <w:r w:rsidRPr="00D7426D">
        <w:rPr>
          <w:rFonts w:ascii="Arial" w:hAnsi="Arial" w:cs="Arial"/>
          <w:i/>
          <w:sz w:val="24"/>
          <w:szCs w:val="24"/>
        </w:rPr>
        <w:t>AI literacy in K-16 classrooms</w:t>
      </w:r>
      <w:r w:rsidRPr="00D7426D">
        <w:rPr>
          <w:rFonts w:ascii="Arial" w:hAnsi="Arial" w:cs="Arial"/>
          <w:sz w:val="24"/>
          <w:szCs w:val="24"/>
        </w:rPr>
        <w:t xml:space="preserve">. Springer Nature. </w:t>
      </w:r>
      <w:hyperlink r:id="rId7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https://doi.org/https://doi.org/10.1007/978-3-031-18880-0</w:t>
        </w:r>
      </w:hyperlink>
      <w:r w:rsidRPr="00D7426D">
        <w:rPr>
          <w:rFonts w:ascii="Arial" w:hAnsi="Arial" w:cs="Arial"/>
          <w:sz w:val="24"/>
          <w:szCs w:val="24"/>
        </w:rPr>
        <w:t xml:space="preserve"> </w:t>
      </w:r>
    </w:p>
    <w:p w14:paraId="24B76E1D" w14:textId="77777777" w:rsidR="00B24BC1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38657B03" w14:textId="77777777" w:rsidR="00E12809" w:rsidRPr="00D7426D" w:rsidRDefault="00E12809" w:rsidP="00E12809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D7426D">
        <w:rPr>
          <w:rFonts w:ascii="Arial" w:hAnsi="Arial" w:cs="Arial"/>
          <w:sz w:val="24"/>
          <w:szCs w:val="24"/>
        </w:rPr>
        <w:t xml:space="preserve">King, A. E. (2025). </w:t>
      </w:r>
      <w:r w:rsidRPr="00D7426D">
        <w:rPr>
          <w:rFonts w:ascii="Arial" w:hAnsi="Arial" w:cs="Arial"/>
          <w:i/>
          <w:sz w:val="24"/>
          <w:szCs w:val="24"/>
        </w:rPr>
        <w:t>Artificial intelligence, pedagogy and academic integrity</w:t>
      </w:r>
      <w:r w:rsidRPr="00D7426D">
        <w:rPr>
          <w:rFonts w:ascii="Arial" w:hAnsi="Arial" w:cs="Arial"/>
          <w:sz w:val="24"/>
          <w:szCs w:val="24"/>
        </w:rPr>
        <w:t xml:space="preserve">. Springer. </w:t>
      </w:r>
      <w:hyperlink r:id="rId8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https://doi.org/10.1007/978-3-031-92534-4</w:t>
        </w:r>
      </w:hyperlink>
      <w:r w:rsidRPr="00D7426D">
        <w:rPr>
          <w:rFonts w:ascii="Arial" w:hAnsi="Arial" w:cs="Arial"/>
          <w:sz w:val="24"/>
          <w:szCs w:val="24"/>
        </w:rPr>
        <w:t xml:space="preserve"> </w:t>
      </w:r>
    </w:p>
    <w:p w14:paraId="7ADE2CB1" w14:textId="77777777" w:rsidR="00E12809" w:rsidRPr="00E12809" w:rsidRDefault="00E12809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66209580" w14:textId="77777777" w:rsidR="0025777A" w:rsidRPr="00D7426D" w:rsidRDefault="0025777A" w:rsidP="0025777A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D7426D">
        <w:rPr>
          <w:rFonts w:ascii="Arial" w:hAnsi="Arial" w:cs="Arial"/>
          <w:sz w:val="24"/>
          <w:szCs w:val="24"/>
        </w:rPr>
        <w:t xml:space="preserve">Gligorea, I., Cioca, M., Oancea, R., Gorski, A., Gorski, H. et Tudorache, P. (2023). Adaptive Learning Using Artificial Intelligence in e-Learning: A Literature Review. </w:t>
      </w:r>
      <w:r w:rsidRPr="00D7426D">
        <w:rPr>
          <w:rFonts w:ascii="Arial" w:hAnsi="Arial" w:cs="Arial"/>
          <w:i/>
          <w:sz w:val="24"/>
          <w:szCs w:val="24"/>
        </w:rPr>
        <w:t>Education Sciences</w:t>
      </w:r>
      <w:r w:rsidRPr="00D7426D">
        <w:rPr>
          <w:rFonts w:ascii="Arial" w:hAnsi="Arial" w:cs="Arial"/>
          <w:sz w:val="24"/>
          <w:szCs w:val="24"/>
        </w:rPr>
        <w:t xml:space="preserve">. </w:t>
      </w:r>
      <w:hyperlink r:id="rId9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https://doi.org/10.3390/educsci13121216</w:t>
        </w:r>
      </w:hyperlink>
    </w:p>
    <w:p w14:paraId="042A1322" w14:textId="77777777" w:rsidR="00E12809" w:rsidRDefault="00E12809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</w:p>
    <w:p w14:paraId="5E6E41C3" w14:textId="77777777" w:rsidR="00913F54" w:rsidRPr="0029624C" w:rsidRDefault="00913F54" w:rsidP="00913F54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  <w:r w:rsidRPr="0029624C">
        <w:rPr>
          <w:rFonts w:ascii="Arial" w:hAnsi="Arial" w:cs="Arial"/>
          <w:sz w:val="24"/>
          <w:szCs w:val="24"/>
          <w:lang w:val="fr-CA"/>
        </w:rPr>
        <w:t xml:space="preserve">Mulyani, H., Istiaq, M. A., Shauki, E. R., Kurniati, F. et Arlinda, H. (2025). </w:t>
      </w:r>
      <w:r w:rsidRPr="00D7426D">
        <w:rPr>
          <w:rFonts w:ascii="Arial" w:hAnsi="Arial" w:cs="Arial"/>
          <w:sz w:val="24"/>
          <w:szCs w:val="24"/>
        </w:rPr>
        <w:t xml:space="preserve">Transforming education: exploring the influence of generative AI on teaching performance. </w:t>
      </w:r>
      <w:r w:rsidRPr="0029624C">
        <w:rPr>
          <w:rFonts w:ascii="Arial" w:hAnsi="Arial" w:cs="Arial"/>
          <w:i/>
          <w:sz w:val="24"/>
          <w:szCs w:val="24"/>
          <w:lang w:val="fr-CA"/>
        </w:rPr>
        <w:t>Cogent Education, 12</w:t>
      </w:r>
      <w:r w:rsidRPr="0029624C">
        <w:rPr>
          <w:rFonts w:ascii="Arial" w:hAnsi="Arial" w:cs="Arial"/>
          <w:sz w:val="24"/>
          <w:szCs w:val="24"/>
          <w:lang w:val="fr-CA"/>
        </w:rPr>
        <w:t xml:space="preserve">(1). </w:t>
      </w:r>
      <w:hyperlink r:id="rId10" w:history="1">
        <w:r w:rsidRPr="0029624C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https://doi.org/10.1080/2331186X.2024.2448066</w:t>
        </w:r>
      </w:hyperlink>
    </w:p>
    <w:p w14:paraId="45941ECC" w14:textId="77777777" w:rsidR="00913F54" w:rsidRPr="00015129" w:rsidRDefault="00913F54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365C74DA" w14:textId="235AD55E" w:rsidR="00B24BC1" w:rsidRPr="00015129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015129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</w:t>
      </w:r>
      <w:r w:rsidR="00E12809" w:rsidRPr="00015129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4</w:t>
      </w:r>
      <w:r w:rsidR="00EA1EB0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: IA et manque d’intégrité</w:t>
      </w:r>
    </w:p>
    <w:p w14:paraId="4D88AD75" w14:textId="77777777" w:rsidR="00015129" w:rsidRPr="00D7426D" w:rsidRDefault="00015129" w:rsidP="00015129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29624C">
        <w:rPr>
          <w:rFonts w:ascii="Arial" w:hAnsi="Arial" w:cs="Arial"/>
          <w:sz w:val="24"/>
          <w:szCs w:val="24"/>
          <w:lang w:val="fr-CA"/>
        </w:rPr>
        <w:t xml:space="preserve">Dakakni, D. et Safa, N. (2023). </w:t>
      </w:r>
      <w:r w:rsidRPr="00D7426D">
        <w:rPr>
          <w:rFonts w:ascii="Arial" w:hAnsi="Arial" w:cs="Arial"/>
          <w:sz w:val="24"/>
          <w:szCs w:val="24"/>
        </w:rPr>
        <w:t xml:space="preserve">Artificial intelligence in the L2 classroom: Implications and challenges on ethics and equity in higher education: A 21st century Pandora's box. </w:t>
      </w:r>
      <w:r w:rsidRPr="00D7426D">
        <w:rPr>
          <w:rFonts w:ascii="Arial" w:hAnsi="Arial" w:cs="Arial"/>
          <w:i/>
          <w:sz w:val="24"/>
          <w:szCs w:val="24"/>
        </w:rPr>
        <w:t>Computers and Education: Artificial Intelligence, 5</w:t>
      </w:r>
      <w:r w:rsidRPr="00D7426D">
        <w:rPr>
          <w:rFonts w:ascii="Arial" w:hAnsi="Arial" w:cs="Arial"/>
          <w:sz w:val="24"/>
          <w:szCs w:val="24"/>
        </w:rPr>
        <w:t xml:space="preserve">. </w:t>
      </w:r>
      <w:hyperlink r:id="rId11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https://doi.org/10.1016/j.caeai.2023.100179</w:t>
        </w:r>
      </w:hyperlink>
    </w:p>
    <w:p w14:paraId="3077869D" w14:textId="77777777" w:rsidR="00B24BC1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69DDBD77" w14:textId="77777777" w:rsidR="00015129" w:rsidRPr="00D7426D" w:rsidRDefault="00015129" w:rsidP="00015129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D7426D">
        <w:rPr>
          <w:rFonts w:ascii="Arial" w:hAnsi="Arial" w:cs="Arial"/>
          <w:sz w:val="24"/>
          <w:szCs w:val="24"/>
        </w:rPr>
        <w:t xml:space="preserve">Grassini, S. (2023). Shaping the Future of Education: Exploring the Potential and Consequences of AI and ChatGPT in Educational Settings. </w:t>
      </w:r>
      <w:r w:rsidRPr="00D7426D">
        <w:rPr>
          <w:rFonts w:ascii="Arial" w:hAnsi="Arial" w:cs="Arial"/>
          <w:i/>
          <w:sz w:val="24"/>
          <w:szCs w:val="24"/>
        </w:rPr>
        <w:t>Education Sciences, 13</w:t>
      </w:r>
      <w:r w:rsidRPr="00D7426D">
        <w:rPr>
          <w:rFonts w:ascii="Arial" w:hAnsi="Arial" w:cs="Arial"/>
          <w:sz w:val="24"/>
          <w:szCs w:val="24"/>
        </w:rPr>
        <w:t xml:space="preserve">(7), 692. </w:t>
      </w:r>
      <w:hyperlink r:id="rId12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https://doi.org/10.3390/educsci13070692</w:t>
        </w:r>
      </w:hyperlink>
    </w:p>
    <w:p w14:paraId="38A34012" w14:textId="77777777" w:rsidR="00015129" w:rsidRDefault="00015129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0FEAD8C6" w14:textId="77777777" w:rsidR="00015129" w:rsidRPr="002D340C" w:rsidRDefault="00015129" w:rsidP="00015129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en-CA"/>
        </w:rPr>
      </w:pPr>
      <w:r w:rsidRPr="00D7426D">
        <w:rPr>
          <w:rFonts w:ascii="Arial" w:hAnsi="Arial" w:cs="Arial"/>
          <w:sz w:val="24"/>
          <w:szCs w:val="24"/>
        </w:rPr>
        <w:t xml:space="preserve">Leaton Gray, S., Edsall, D. et Parapadakis, D. (2025). AI-Based Digital Cheating At University, and the Case for New Ethical Pedagogies. </w:t>
      </w:r>
      <w:r w:rsidRPr="002D340C">
        <w:rPr>
          <w:rFonts w:ascii="Arial" w:hAnsi="Arial" w:cs="Arial"/>
          <w:i/>
          <w:sz w:val="24"/>
          <w:szCs w:val="24"/>
          <w:lang w:val="en-CA"/>
        </w:rPr>
        <w:t>Journal of Academic Ethics</w:t>
      </w:r>
      <w:r w:rsidRPr="002D340C">
        <w:rPr>
          <w:rFonts w:ascii="Arial" w:hAnsi="Arial" w:cs="Arial"/>
          <w:sz w:val="24"/>
          <w:szCs w:val="24"/>
          <w:lang w:val="en-CA"/>
        </w:rPr>
        <w:t xml:space="preserve">, 1-18. </w:t>
      </w:r>
      <w:hyperlink r:id="rId13" w:history="1">
        <w:r w:rsidRPr="002D340C">
          <w:rPr>
            <w:rStyle w:val="Hyperlien"/>
            <w:rFonts w:ascii="Arial" w:hAnsi="Arial" w:cs="Arial"/>
            <w:sz w:val="24"/>
            <w:szCs w:val="24"/>
            <w:lang w:val="en-CA"/>
          </w:rPr>
          <w:t>https://doi.org/10.1007/s10805-025-09642-y</w:t>
        </w:r>
      </w:hyperlink>
    </w:p>
    <w:p w14:paraId="793BC675" w14:textId="77777777" w:rsidR="00015129" w:rsidRPr="00015129" w:rsidRDefault="00015129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</w:p>
    <w:p w14:paraId="76A39166" w14:textId="77777777" w:rsidR="002D340C" w:rsidRPr="006642BE" w:rsidRDefault="002D340C" w:rsidP="002D340C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  <w:r w:rsidRPr="002D340C">
        <w:rPr>
          <w:rFonts w:ascii="Arial" w:hAnsi="Arial" w:cs="Arial"/>
          <w:sz w:val="24"/>
          <w:szCs w:val="24"/>
          <w:lang w:val="en-CA"/>
        </w:rPr>
        <w:t xml:space="preserve">Shi, L., Ding, A.-C. et Choi, I. (2024). </w:t>
      </w:r>
      <w:r w:rsidRPr="00D7426D">
        <w:rPr>
          <w:rFonts w:ascii="Arial" w:hAnsi="Arial" w:cs="Arial"/>
          <w:sz w:val="24"/>
          <w:szCs w:val="24"/>
        </w:rPr>
        <w:t xml:space="preserve">Investigating Teachers’ Use of an AI-Enabled System and Their Perceptions of AI Integration in Science Classrooms: A Case Study. </w:t>
      </w:r>
      <w:r w:rsidRPr="006642BE">
        <w:rPr>
          <w:rFonts w:ascii="Arial" w:hAnsi="Arial" w:cs="Arial"/>
          <w:i/>
          <w:sz w:val="24"/>
          <w:szCs w:val="24"/>
          <w:lang w:val="fr-CA"/>
        </w:rPr>
        <w:t>Education Sciences, 14</w:t>
      </w:r>
      <w:r w:rsidRPr="006642BE">
        <w:rPr>
          <w:rFonts w:ascii="Arial" w:hAnsi="Arial" w:cs="Arial"/>
          <w:sz w:val="24"/>
          <w:szCs w:val="24"/>
          <w:lang w:val="fr-CA"/>
        </w:rPr>
        <w:t xml:space="preserve">(11), 1187. </w:t>
      </w:r>
      <w:hyperlink r:id="rId14" w:history="1">
        <w:r w:rsidRPr="006642BE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https://doi.org/10.3390/educsci14111187</w:t>
        </w:r>
      </w:hyperlink>
    </w:p>
    <w:p w14:paraId="1F4F3D60" w14:textId="77777777" w:rsidR="00E12809" w:rsidRPr="006642BE" w:rsidRDefault="00E12809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12CB41FB" w14:textId="77777777" w:rsidR="00E12809" w:rsidRPr="006642BE" w:rsidRDefault="00E12809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25D266DA" w14:textId="0C7B21BF" w:rsidR="00B24BC1" w:rsidRPr="006642BE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lastRenderedPageBreak/>
        <w:t>Diapositive</w:t>
      </w:r>
      <w:r w:rsidR="002D340C"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5</w:t>
      </w:r>
      <w:r w:rsidR="006642BE"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: </w:t>
      </w:r>
      <w:r w:rsidR="006642BE"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Comment les enseignants se servent de l’IA</w:t>
      </w:r>
    </w:p>
    <w:p w14:paraId="4331F4BE" w14:textId="77777777" w:rsidR="009B6706" w:rsidRPr="00FA2D12" w:rsidRDefault="009B6706" w:rsidP="009B6706">
      <w:pPr>
        <w:pStyle w:val="EndNoteBibliography"/>
        <w:spacing w:after="0"/>
        <w:ind w:left="720" w:hanging="720"/>
        <w:rPr>
          <w:lang w:val="fr-CA"/>
        </w:rPr>
      </w:pPr>
      <w:r w:rsidRPr="009B6706">
        <w:rPr>
          <w:rFonts w:ascii="Arial" w:hAnsi="Arial" w:cs="Arial"/>
          <w:sz w:val="24"/>
          <w:szCs w:val="24"/>
          <w:lang w:val="fr-CA"/>
        </w:rPr>
        <w:t xml:space="preserve">Celik, I., Dindar, M., Muukkonen, H. et Järvelä, S. (2022). </w:t>
      </w:r>
      <w:r w:rsidRPr="00D7426D">
        <w:rPr>
          <w:rFonts w:ascii="Arial" w:hAnsi="Arial" w:cs="Arial"/>
          <w:sz w:val="24"/>
          <w:szCs w:val="24"/>
        </w:rPr>
        <w:t xml:space="preserve">The Promises and Challenges of Artificial Intelligence for Teachers: a Systematic Review of Research. </w:t>
      </w:r>
      <w:r w:rsidRPr="00D7426D">
        <w:rPr>
          <w:rFonts w:ascii="Arial" w:hAnsi="Arial" w:cs="Arial"/>
          <w:i/>
          <w:sz w:val="24"/>
          <w:szCs w:val="24"/>
        </w:rPr>
        <w:t>TechTrends : Linking Research and Practice to Improve Learning A publication of the Association for Educational Communications &amp; Technology, 66</w:t>
      </w:r>
      <w:r w:rsidRPr="00D7426D">
        <w:rPr>
          <w:rFonts w:ascii="Arial" w:hAnsi="Arial" w:cs="Arial"/>
          <w:sz w:val="24"/>
          <w:szCs w:val="24"/>
        </w:rPr>
        <w:t xml:space="preserve">(4), 616-630. </w:t>
      </w:r>
      <w:hyperlink r:id="rId15" w:history="1">
        <w:r w:rsidRPr="00FA2D12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https://doi.org/10.1007/s11528-022-00715-y</w:t>
        </w:r>
      </w:hyperlink>
    </w:p>
    <w:p w14:paraId="202CBE6D" w14:textId="77777777" w:rsidR="00B24BC1" w:rsidRPr="006642BE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</w:p>
    <w:p w14:paraId="573861A4" w14:textId="1B9F4952" w:rsidR="002D340C" w:rsidRPr="006642BE" w:rsidRDefault="00FA2D12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29624C">
        <w:rPr>
          <w:rFonts w:ascii="Arial" w:hAnsi="Arial" w:cs="Arial"/>
          <w:sz w:val="24"/>
          <w:szCs w:val="24"/>
          <w:lang w:val="fr-CA"/>
        </w:rPr>
        <w:t xml:space="preserve">Chan, C. K. Y. et Tsi, L. H. Y. (2024). </w:t>
      </w:r>
      <w:r w:rsidRPr="00D7426D">
        <w:rPr>
          <w:rFonts w:ascii="Arial" w:hAnsi="Arial" w:cs="Arial"/>
          <w:sz w:val="24"/>
          <w:szCs w:val="24"/>
        </w:rPr>
        <w:t xml:space="preserve">Will generative AI replace teachers in higher education? A study of teacher and student perceptions. </w:t>
      </w:r>
      <w:r w:rsidRPr="00D7426D">
        <w:rPr>
          <w:rFonts w:ascii="Arial" w:hAnsi="Arial" w:cs="Arial"/>
          <w:i/>
          <w:sz w:val="24"/>
          <w:szCs w:val="24"/>
        </w:rPr>
        <w:t>Studies in Educational Evaluation, 83</w:t>
      </w:r>
      <w:r w:rsidRPr="00D7426D">
        <w:rPr>
          <w:rFonts w:ascii="Arial" w:hAnsi="Arial" w:cs="Arial"/>
          <w:sz w:val="24"/>
          <w:szCs w:val="24"/>
        </w:rPr>
        <w:t xml:space="preserve">. </w:t>
      </w:r>
      <w:hyperlink r:id="rId16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https://doi.org/10.1016/j.stueduc.2024.101395</w:t>
        </w:r>
      </w:hyperlink>
    </w:p>
    <w:p w14:paraId="00CD10A6" w14:textId="77777777" w:rsidR="002D340C" w:rsidRDefault="002D340C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</w:p>
    <w:p w14:paraId="44B880EE" w14:textId="77777777" w:rsidR="00FA2D12" w:rsidRPr="006E535D" w:rsidRDefault="00FA2D12" w:rsidP="00FA2D12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  <w:r w:rsidRPr="00B24BC1">
        <w:rPr>
          <w:rFonts w:ascii="Arial" w:hAnsi="Arial" w:cs="Arial"/>
          <w:sz w:val="24"/>
          <w:szCs w:val="24"/>
          <w:lang w:val="fr-CA"/>
        </w:rPr>
        <w:t xml:space="preserve">Kooli, C. et Yusuf, N. (2024). </w:t>
      </w:r>
      <w:r w:rsidRPr="00D7426D">
        <w:rPr>
          <w:rFonts w:ascii="Arial" w:hAnsi="Arial" w:cs="Arial"/>
          <w:sz w:val="24"/>
          <w:szCs w:val="24"/>
        </w:rPr>
        <w:t xml:space="preserve">Transforming Educational Assessment: Insights Into the Use of ChatGPT and Large Language Models in Grading. </w:t>
      </w:r>
      <w:r w:rsidRPr="006E535D">
        <w:rPr>
          <w:rFonts w:ascii="Arial" w:hAnsi="Arial" w:cs="Arial"/>
          <w:i/>
          <w:sz w:val="24"/>
          <w:szCs w:val="24"/>
          <w:lang w:val="fr-CA"/>
        </w:rPr>
        <w:t>International Journal of Human–Computer Interaction, 0</w:t>
      </w:r>
      <w:r w:rsidRPr="006E535D">
        <w:rPr>
          <w:rFonts w:ascii="Arial" w:hAnsi="Arial" w:cs="Arial"/>
          <w:sz w:val="24"/>
          <w:szCs w:val="24"/>
          <w:lang w:val="fr-CA"/>
        </w:rPr>
        <w:t xml:space="preserve">(0), 1-12. </w:t>
      </w:r>
      <w:hyperlink r:id="rId17" w:history="1">
        <w:r w:rsidRPr="006E535D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https://doi.org/10.1080/10447318.2024.2338330</w:t>
        </w:r>
      </w:hyperlink>
    </w:p>
    <w:p w14:paraId="0F04C2F9" w14:textId="77777777" w:rsidR="00FA2D12" w:rsidRPr="006642BE" w:rsidRDefault="00FA2D12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</w:p>
    <w:p w14:paraId="6F2C6F94" w14:textId="7E884C9F" w:rsidR="00B24BC1" w:rsidRPr="006642BE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</w:t>
      </w:r>
      <w:r w:rsidR="00FA2D12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</w:t>
      </w:r>
      <w:r w:rsidR="006E535D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7</w:t>
      </w:r>
      <w:r w:rsidR="00FA2D12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 : </w:t>
      </w:r>
      <w:r w:rsidR="000E31C0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Cadre théorique : correction des travaux</w:t>
      </w:r>
    </w:p>
    <w:p w14:paraId="4A6B2ECA" w14:textId="77777777" w:rsidR="00861156" w:rsidRDefault="00861156" w:rsidP="00861156">
      <w:pPr>
        <w:pStyle w:val="EndNoteBibliography"/>
        <w:spacing w:after="0"/>
        <w:ind w:left="720" w:hanging="720"/>
      </w:pPr>
      <w:r w:rsidRPr="002D340C">
        <w:rPr>
          <w:rFonts w:ascii="Arial" w:hAnsi="Arial" w:cs="Arial"/>
          <w:sz w:val="24"/>
          <w:szCs w:val="24"/>
          <w:lang w:val="fr-CA"/>
        </w:rPr>
        <w:t xml:space="preserve">Stern, L. A. et Solomon, A. (2006). </w:t>
      </w:r>
      <w:r w:rsidRPr="00D7426D">
        <w:rPr>
          <w:rFonts w:ascii="Arial" w:hAnsi="Arial" w:cs="Arial"/>
          <w:sz w:val="24"/>
          <w:szCs w:val="24"/>
        </w:rPr>
        <w:t xml:space="preserve">Effective faculty feedback: The road less traveled. </w:t>
      </w:r>
      <w:r w:rsidRPr="00D7426D">
        <w:rPr>
          <w:rFonts w:ascii="Arial" w:hAnsi="Arial" w:cs="Arial"/>
          <w:i/>
          <w:sz w:val="24"/>
          <w:szCs w:val="24"/>
        </w:rPr>
        <w:t>Assessing Writing, 11</w:t>
      </w:r>
      <w:r w:rsidRPr="00D7426D">
        <w:rPr>
          <w:rFonts w:ascii="Arial" w:hAnsi="Arial" w:cs="Arial"/>
          <w:sz w:val="24"/>
          <w:szCs w:val="24"/>
        </w:rPr>
        <w:t xml:space="preserve">(1), 22-41. </w:t>
      </w:r>
      <w:hyperlink r:id="rId18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https://doi.org/10.1016/j.asw.2005.12.001</w:t>
        </w:r>
      </w:hyperlink>
    </w:p>
    <w:p w14:paraId="5DAA73E1" w14:textId="77777777" w:rsidR="00B24BC1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1D8140F0" w14:textId="77777777" w:rsidR="00861156" w:rsidRPr="0029624C" w:rsidRDefault="00861156" w:rsidP="00861156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  <w:r w:rsidRPr="0029624C">
        <w:rPr>
          <w:rFonts w:ascii="Arial" w:hAnsi="Arial" w:cs="Arial"/>
          <w:sz w:val="24"/>
          <w:szCs w:val="24"/>
          <w:lang w:val="fr-CA"/>
        </w:rPr>
        <w:t xml:space="preserve">Segueda, S. (2023). Évaluation des apprentissages en contexte universitaire: Quand les étudiants finissent par adopter la posture du «cabri mort» face à la quantité de travaux évalués. </w:t>
      </w:r>
      <w:r w:rsidRPr="0029624C">
        <w:rPr>
          <w:rFonts w:ascii="Arial" w:hAnsi="Arial" w:cs="Arial"/>
          <w:i/>
          <w:sz w:val="24"/>
          <w:szCs w:val="24"/>
          <w:lang w:val="fr-CA"/>
        </w:rPr>
        <w:t>e-JIREF, 9</w:t>
      </w:r>
      <w:r w:rsidRPr="0029624C">
        <w:rPr>
          <w:rFonts w:ascii="Arial" w:hAnsi="Arial" w:cs="Arial"/>
          <w:sz w:val="24"/>
          <w:szCs w:val="24"/>
          <w:lang w:val="fr-CA"/>
        </w:rPr>
        <w:t xml:space="preserve">(2), 27-46. </w:t>
      </w:r>
    </w:p>
    <w:p w14:paraId="57F64350" w14:textId="77777777" w:rsidR="00861156" w:rsidRPr="006642BE" w:rsidRDefault="00861156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15E85997" w14:textId="77777777" w:rsidR="00B24BC1" w:rsidRPr="006642BE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78FD327F" w14:textId="2DE18662" w:rsidR="00B24BC1" w:rsidRPr="006642BE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6642BE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Diapositive</w:t>
      </w:r>
      <w:r w:rsidR="00AA49C9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8 : </w:t>
      </w:r>
      <w:r w:rsidR="00EA5167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La correction sert à …</w:t>
      </w:r>
    </w:p>
    <w:p w14:paraId="1739ACC6" w14:textId="77777777" w:rsidR="00EA5167" w:rsidRPr="0029624C" w:rsidRDefault="00EA5167" w:rsidP="00EA5167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  <w:r w:rsidRPr="0029624C">
        <w:rPr>
          <w:rFonts w:ascii="Arial" w:hAnsi="Arial" w:cs="Arial"/>
          <w:sz w:val="24"/>
          <w:szCs w:val="24"/>
          <w:lang w:val="fr-CA"/>
        </w:rPr>
        <w:t xml:space="preserve">Moysan, A. (2025). La correction des copies d’élèves, un geste didactique utopique ? </w:t>
      </w:r>
      <w:r w:rsidRPr="0029624C">
        <w:rPr>
          <w:rFonts w:ascii="Arial" w:hAnsi="Arial" w:cs="Arial"/>
          <w:i/>
          <w:sz w:val="24"/>
          <w:szCs w:val="24"/>
          <w:lang w:val="fr-CA"/>
        </w:rPr>
        <w:t>Le Français aujourd'hui, 229</w:t>
      </w:r>
      <w:r w:rsidRPr="0029624C">
        <w:rPr>
          <w:rFonts w:ascii="Arial" w:hAnsi="Arial" w:cs="Arial"/>
          <w:sz w:val="24"/>
          <w:szCs w:val="24"/>
          <w:lang w:val="fr-CA"/>
        </w:rPr>
        <w:t xml:space="preserve">(2), 67-78. </w:t>
      </w:r>
      <w:hyperlink r:id="rId19" w:history="1">
        <w:r w:rsidRPr="0029624C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https://doi.org/10.3917/lfa.229.0067</w:t>
        </w:r>
      </w:hyperlink>
    </w:p>
    <w:p w14:paraId="1AA5EFCA" w14:textId="77777777" w:rsidR="00EA5167" w:rsidRPr="00EA5167" w:rsidRDefault="00EA5167" w:rsidP="00EA5167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</w:p>
    <w:p w14:paraId="6AECD346" w14:textId="77777777" w:rsidR="00EA5167" w:rsidRPr="00D7426D" w:rsidRDefault="00EA5167" w:rsidP="00EA5167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EA5167">
        <w:rPr>
          <w:rFonts w:ascii="Arial" w:hAnsi="Arial" w:cs="Arial"/>
          <w:sz w:val="24"/>
          <w:szCs w:val="24"/>
          <w:lang w:val="fr-CA"/>
        </w:rPr>
        <w:t xml:space="preserve">Percell, J. C. (2017). </w:t>
      </w:r>
      <w:r w:rsidRPr="00D7426D">
        <w:rPr>
          <w:rFonts w:ascii="Arial" w:hAnsi="Arial" w:cs="Arial"/>
          <w:sz w:val="24"/>
          <w:szCs w:val="24"/>
        </w:rPr>
        <w:t xml:space="preserve">Lessons from Alternative Grading: Essential Qualities of Teacher Feedback. </w:t>
      </w:r>
      <w:r w:rsidRPr="00D7426D">
        <w:rPr>
          <w:rFonts w:ascii="Arial" w:hAnsi="Arial" w:cs="Arial"/>
          <w:i/>
          <w:sz w:val="24"/>
          <w:szCs w:val="24"/>
        </w:rPr>
        <w:t>The Clearing House: A Journal of Educational Strategies, Issues and Ideas, 90</w:t>
      </w:r>
      <w:r w:rsidRPr="00D7426D">
        <w:rPr>
          <w:rFonts w:ascii="Arial" w:hAnsi="Arial" w:cs="Arial"/>
          <w:sz w:val="24"/>
          <w:szCs w:val="24"/>
        </w:rPr>
        <w:t xml:space="preserve">(4), 111-115. </w:t>
      </w:r>
      <w:hyperlink r:id="rId20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https://doi.org/10.1080/00098655.2017.1304067</w:t>
        </w:r>
      </w:hyperlink>
    </w:p>
    <w:p w14:paraId="58D4DBB2" w14:textId="77777777" w:rsidR="00B24BC1" w:rsidRPr="00171C4B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</w:p>
    <w:p w14:paraId="6A457A0F" w14:textId="77777777" w:rsidR="00171C4B" w:rsidRPr="00D7426D" w:rsidRDefault="00171C4B" w:rsidP="00171C4B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D7426D">
        <w:rPr>
          <w:rFonts w:ascii="Arial" w:hAnsi="Arial" w:cs="Arial"/>
          <w:sz w:val="24"/>
          <w:szCs w:val="24"/>
        </w:rPr>
        <w:t xml:space="preserve">Cain, J., Medina, M., Romanelli, F. et Persky, A. (2022, Oct). Deficiencies of Traditional Grading Systems and Recommendations for the Future. </w:t>
      </w:r>
      <w:r w:rsidRPr="00D7426D">
        <w:rPr>
          <w:rFonts w:ascii="Arial" w:hAnsi="Arial" w:cs="Arial"/>
          <w:i/>
          <w:sz w:val="24"/>
          <w:szCs w:val="24"/>
        </w:rPr>
        <w:t>Am J Pharm Educ, 86</w:t>
      </w:r>
      <w:r w:rsidRPr="00D7426D">
        <w:rPr>
          <w:rFonts w:ascii="Arial" w:hAnsi="Arial" w:cs="Arial"/>
          <w:sz w:val="24"/>
          <w:szCs w:val="24"/>
        </w:rPr>
        <w:t xml:space="preserve">(7), 8850. </w:t>
      </w:r>
      <w:hyperlink r:id="rId21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https://doi.org/10.5688/ajpe8850</w:t>
        </w:r>
      </w:hyperlink>
    </w:p>
    <w:p w14:paraId="721BBFEB" w14:textId="77777777" w:rsidR="00B24BC1" w:rsidRPr="003E7BA6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</w:p>
    <w:p w14:paraId="10050E6E" w14:textId="1293EA1E" w:rsidR="00B24BC1" w:rsidRPr="003E7BA6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3E7BA6"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  <w:t>Diapositive</w:t>
      </w:r>
      <w:r w:rsidR="003E7BA6" w:rsidRPr="003E7BA6"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  <w:t xml:space="preserve"> 9</w:t>
      </w:r>
    </w:p>
    <w:p w14:paraId="5D69DAA3" w14:textId="77777777" w:rsidR="003E7BA6" w:rsidRPr="00D7426D" w:rsidRDefault="003E7BA6" w:rsidP="003E7BA6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3E7BA6">
        <w:rPr>
          <w:rFonts w:ascii="Arial" w:hAnsi="Arial" w:cs="Arial"/>
          <w:sz w:val="24"/>
          <w:szCs w:val="24"/>
          <w:lang w:val="en-CA"/>
        </w:rPr>
        <w:t xml:space="preserve">Daly, P. et Deglaire, E. (2025). </w:t>
      </w:r>
      <w:r w:rsidRPr="00D7426D">
        <w:rPr>
          <w:rFonts w:ascii="Arial" w:hAnsi="Arial" w:cs="Arial"/>
          <w:sz w:val="24"/>
          <w:szCs w:val="24"/>
        </w:rPr>
        <w:t xml:space="preserve">AI-enabled correction: A professor’s journey. </w:t>
      </w:r>
      <w:r w:rsidRPr="00D7426D">
        <w:rPr>
          <w:rFonts w:ascii="Arial" w:hAnsi="Arial" w:cs="Arial"/>
          <w:i/>
          <w:sz w:val="24"/>
          <w:szCs w:val="24"/>
        </w:rPr>
        <w:t>Innovations in Education and Teaching International, 62</w:t>
      </w:r>
      <w:r w:rsidRPr="00D7426D">
        <w:rPr>
          <w:rFonts w:ascii="Arial" w:hAnsi="Arial" w:cs="Arial"/>
          <w:sz w:val="24"/>
          <w:szCs w:val="24"/>
        </w:rPr>
        <w:t xml:space="preserve">(4), 1241-1257. </w:t>
      </w:r>
      <w:hyperlink r:id="rId22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https://doi.org/10.1080/14703297.2024.2390486</w:t>
        </w:r>
      </w:hyperlink>
    </w:p>
    <w:p w14:paraId="36A5C1B5" w14:textId="77777777" w:rsidR="00B24BC1" w:rsidRPr="003E7BA6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</w:p>
    <w:p w14:paraId="0E6F02ED" w14:textId="3F80D76D" w:rsidR="00B24BC1" w:rsidRPr="002B09C8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2B09C8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lastRenderedPageBreak/>
        <w:t>Diapositive</w:t>
      </w:r>
      <w:r w:rsidR="003E7BA6" w:rsidRPr="002B09C8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 xml:space="preserve"> 10 : </w:t>
      </w:r>
      <w:r w:rsidR="00514398" w:rsidRPr="00514398"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  <w:t>Dangers de la correction avec l’IA</w:t>
      </w:r>
    </w:p>
    <w:p w14:paraId="3EA46B81" w14:textId="77777777" w:rsidR="002B09C8" w:rsidRDefault="002B09C8" w:rsidP="002B09C8">
      <w:pPr>
        <w:pStyle w:val="EndNoteBibliography"/>
        <w:spacing w:after="0"/>
        <w:ind w:left="720" w:hanging="720"/>
      </w:pPr>
      <w:r w:rsidRPr="00861156">
        <w:rPr>
          <w:rFonts w:ascii="Arial" w:hAnsi="Arial" w:cs="Arial"/>
          <w:sz w:val="24"/>
          <w:szCs w:val="24"/>
          <w:lang w:val="fr-CA"/>
        </w:rPr>
        <w:t xml:space="preserve">Wu, X., Duan, R. et Ni, J. (2024). </w:t>
      </w:r>
      <w:r w:rsidRPr="00D7426D">
        <w:rPr>
          <w:rFonts w:ascii="Arial" w:hAnsi="Arial" w:cs="Arial"/>
          <w:sz w:val="24"/>
          <w:szCs w:val="24"/>
        </w:rPr>
        <w:t xml:space="preserve">Unveiling security, privacy, and ethical concerns of ChatGPT. </w:t>
      </w:r>
      <w:r w:rsidRPr="00D7426D">
        <w:rPr>
          <w:rFonts w:ascii="Arial" w:hAnsi="Arial" w:cs="Arial"/>
          <w:i/>
          <w:sz w:val="24"/>
          <w:szCs w:val="24"/>
        </w:rPr>
        <w:t>Journal of Information and Intelligence, 2</w:t>
      </w:r>
      <w:r w:rsidRPr="00D7426D">
        <w:rPr>
          <w:rFonts w:ascii="Arial" w:hAnsi="Arial" w:cs="Arial"/>
          <w:sz w:val="24"/>
          <w:szCs w:val="24"/>
        </w:rPr>
        <w:t xml:space="preserve">(2), 102-115. </w:t>
      </w:r>
      <w:hyperlink r:id="rId23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https://doi.org/10.1016/j.jiixd.2023.10.007</w:t>
        </w:r>
      </w:hyperlink>
    </w:p>
    <w:p w14:paraId="44BD0755" w14:textId="77777777" w:rsidR="002B09C8" w:rsidRDefault="002B09C8" w:rsidP="002B09C8">
      <w:pPr>
        <w:pStyle w:val="EndNoteBibliography"/>
        <w:spacing w:after="0"/>
        <w:ind w:left="720" w:hanging="720"/>
      </w:pPr>
    </w:p>
    <w:p w14:paraId="4D173592" w14:textId="6D76730F" w:rsidR="00B24BC1" w:rsidRPr="002B09C8" w:rsidRDefault="00514398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9624C">
        <w:rPr>
          <w:rFonts w:ascii="Arial" w:hAnsi="Arial" w:cs="Arial"/>
          <w:sz w:val="24"/>
          <w:szCs w:val="24"/>
          <w:lang w:val="fr-CA"/>
        </w:rPr>
        <w:t xml:space="preserve">Rembert, M. l., Couture, H., Gosselin, S., Pelletier, G., Québec . Commission de l'éthique en science et en, t. et Québec . Conseil supérieur de, l. e. d. (2024). </w:t>
      </w:r>
      <w:r w:rsidRPr="0029624C">
        <w:rPr>
          <w:rFonts w:ascii="Arial" w:hAnsi="Arial" w:cs="Arial"/>
          <w:i/>
          <w:sz w:val="24"/>
          <w:szCs w:val="24"/>
          <w:lang w:val="fr-CA"/>
        </w:rPr>
        <w:t>Intelligence artificielle générative en enseignement supérieur : enjeux pédagogiques et éthiques</w:t>
      </w:r>
      <w:r w:rsidRPr="0029624C">
        <w:rPr>
          <w:rFonts w:ascii="Arial" w:hAnsi="Arial" w:cs="Arial"/>
          <w:sz w:val="24"/>
          <w:szCs w:val="24"/>
          <w:lang w:val="fr-CA"/>
        </w:rPr>
        <w:t xml:space="preserve">. Conseil supérieur de l'éducation : Commission de l’éthique en science et en technologie. </w:t>
      </w:r>
      <w:hyperlink r:id="rId24" w:history="1">
        <w:r w:rsidRPr="00514398">
          <w:rPr>
            <w:rStyle w:val="Hyperlien"/>
            <w:rFonts w:ascii="Arial" w:hAnsi="Arial" w:cs="Arial"/>
            <w:sz w:val="24"/>
            <w:szCs w:val="24"/>
          </w:rPr>
          <w:t>https://www.cse.gouv.qc.ca/wp-content/uploads/2024/04/50-0566-SO-IA-generative-enseignement-superieur-enjeux-ethiques.pdf</w:t>
        </w:r>
      </w:hyperlink>
    </w:p>
    <w:p w14:paraId="6AA74F41" w14:textId="77777777" w:rsidR="00B24BC1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</w:p>
    <w:p w14:paraId="2F69BC98" w14:textId="77777777" w:rsidR="00514398" w:rsidRPr="00D7426D" w:rsidRDefault="00514398" w:rsidP="00514398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514398">
        <w:rPr>
          <w:rFonts w:ascii="Arial" w:hAnsi="Arial" w:cs="Arial"/>
          <w:sz w:val="24"/>
          <w:szCs w:val="24"/>
          <w:lang w:val="fr-CA"/>
        </w:rPr>
        <w:t xml:space="preserve">Daly, P. et Deglaire, E. (2025). </w:t>
      </w:r>
      <w:r w:rsidRPr="00D7426D">
        <w:rPr>
          <w:rFonts w:ascii="Arial" w:hAnsi="Arial" w:cs="Arial"/>
          <w:sz w:val="24"/>
          <w:szCs w:val="24"/>
        </w:rPr>
        <w:t xml:space="preserve">AI-enabled correction: A professor’s journey. </w:t>
      </w:r>
      <w:r w:rsidRPr="00D7426D">
        <w:rPr>
          <w:rFonts w:ascii="Arial" w:hAnsi="Arial" w:cs="Arial"/>
          <w:i/>
          <w:sz w:val="24"/>
          <w:szCs w:val="24"/>
        </w:rPr>
        <w:t>Innovations in Education and Teaching International, 62</w:t>
      </w:r>
      <w:r w:rsidRPr="00D7426D">
        <w:rPr>
          <w:rFonts w:ascii="Arial" w:hAnsi="Arial" w:cs="Arial"/>
          <w:sz w:val="24"/>
          <w:szCs w:val="24"/>
        </w:rPr>
        <w:t xml:space="preserve">(4), 1241-1257. </w:t>
      </w:r>
      <w:hyperlink r:id="rId25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https://doi.org/10.1080/14703297.2024.2390486</w:t>
        </w:r>
      </w:hyperlink>
    </w:p>
    <w:p w14:paraId="32DEFBAC" w14:textId="77777777" w:rsidR="00514398" w:rsidRPr="003E7BA6" w:rsidRDefault="00514398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</w:pPr>
    </w:p>
    <w:p w14:paraId="248EF183" w14:textId="6F77B829" w:rsidR="00B24BC1" w:rsidRPr="00926F6E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color w:val="000000" w:themeColor="text1"/>
          <w:sz w:val="24"/>
          <w:szCs w:val="24"/>
          <w:lang w:val="en-CA"/>
        </w:rPr>
      </w:pPr>
      <w:r w:rsidRPr="00926F6E"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  <w:t>Diapositive</w:t>
      </w:r>
      <w:r w:rsidR="00926F6E" w:rsidRPr="00926F6E"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  <w:t xml:space="preserve"> 11</w:t>
      </w:r>
      <w:r w:rsidR="00926F6E">
        <w:rPr>
          <w:rFonts w:ascii="Arial" w:hAnsi="Arial" w:cs="Arial"/>
          <w:b/>
          <w:bCs/>
          <w:color w:val="000000" w:themeColor="text1"/>
          <w:sz w:val="24"/>
          <w:szCs w:val="24"/>
          <w:lang w:val="en-CA"/>
        </w:rPr>
        <w:t xml:space="preserve">: </w:t>
      </w:r>
    </w:p>
    <w:p w14:paraId="4CE5D034" w14:textId="77777777" w:rsidR="00926F6E" w:rsidRPr="000D4ECC" w:rsidRDefault="00926F6E" w:rsidP="00926F6E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  <w:lang w:val="fr-CA"/>
        </w:rPr>
      </w:pPr>
      <w:r w:rsidRPr="00926F6E">
        <w:rPr>
          <w:rFonts w:ascii="Arial" w:hAnsi="Arial" w:cs="Arial"/>
          <w:sz w:val="24"/>
          <w:szCs w:val="24"/>
          <w:lang w:val="fr-CA"/>
        </w:rPr>
        <w:t xml:space="preserve">Dimari, A., Tyagi, N., Davanageri, M., Kukreti, R., Yadav, R., Dimari, H., International Conference on Knowledge, E. et Communication, S. (2024). </w:t>
      </w:r>
      <w:r w:rsidRPr="00D7426D">
        <w:rPr>
          <w:rFonts w:ascii="Arial" w:hAnsi="Arial" w:cs="Arial"/>
          <w:sz w:val="24"/>
          <w:szCs w:val="24"/>
        </w:rPr>
        <w:t xml:space="preserve">AI-Based Automated Grading Systems for open book examination system: Implications for Assessment in Higher Education. Dans </w:t>
      </w:r>
      <w:r w:rsidRPr="00D7426D">
        <w:rPr>
          <w:rFonts w:ascii="Arial" w:hAnsi="Arial" w:cs="Arial"/>
          <w:i/>
          <w:sz w:val="24"/>
          <w:szCs w:val="24"/>
        </w:rPr>
        <w:t>2024 International Conference on Knowledge Engineering and Communication Systems (ICKECS)</w:t>
      </w:r>
      <w:r w:rsidRPr="00D7426D">
        <w:rPr>
          <w:rFonts w:ascii="Arial" w:hAnsi="Arial" w:cs="Arial"/>
          <w:sz w:val="24"/>
          <w:szCs w:val="24"/>
        </w:rPr>
        <w:t xml:space="preserve"> (p. 1-7). </w:t>
      </w:r>
      <w:hyperlink r:id="rId26" w:history="1">
        <w:r w:rsidRPr="000D4ECC">
          <w:rPr>
            <w:rStyle w:val="Hyperlien"/>
            <w:rFonts w:ascii="Arial" w:hAnsi="Arial" w:cs="Arial"/>
            <w:sz w:val="24"/>
            <w:szCs w:val="24"/>
            <w:lang w:val="fr-CA"/>
          </w:rPr>
          <w:t>https://doi.org/10.1109/ICKECS61492.2024.10616490</w:t>
        </w:r>
      </w:hyperlink>
      <w:r w:rsidRPr="000D4ECC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03F68D14" w14:textId="77777777" w:rsidR="00B24BC1" w:rsidRPr="006642BE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09BD4934" w14:textId="77777777" w:rsidR="000D4ECC" w:rsidRPr="00D7426D" w:rsidRDefault="000D4ECC" w:rsidP="000D4ECC">
      <w:pPr>
        <w:pStyle w:val="EndNoteBibliography"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2B09C8">
        <w:rPr>
          <w:rFonts w:ascii="Arial" w:hAnsi="Arial" w:cs="Arial"/>
          <w:sz w:val="24"/>
          <w:szCs w:val="24"/>
          <w:lang w:val="fr-CA"/>
        </w:rPr>
        <w:t xml:space="preserve">Xu, X., Sun, F. et Hu, W. (2025). </w:t>
      </w:r>
      <w:r w:rsidRPr="00D7426D">
        <w:rPr>
          <w:rFonts w:ascii="Arial" w:hAnsi="Arial" w:cs="Arial"/>
          <w:sz w:val="24"/>
          <w:szCs w:val="24"/>
        </w:rPr>
        <w:t xml:space="preserve">Integrating human expertise with GenAI: Insights into a collaborative feedback approach in translation education. </w:t>
      </w:r>
      <w:r w:rsidRPr="00D7426D">
        <w:rPr>
          <w:rFonts w:ascii="Arial" w:hAnsi="Arial" w:cs="Arial"/>
          <w:i/>
          <w:sz w:val="24"/>
          <w:szCs w:val="24"/>
        </w:rPr>
        <w:t>System, 129</w:t>
      </w:r>
      <w:r w:rsidRPr="00D7426D">
        <w:rPr>
          <w:rFonts w:ascii="Arial" w:hAnsi="Arial" w:cs="Arial"/>
          <w:sz w:val="24"/>
          <w:szCs w:val="24"/>
        </w:rPr>
        <w:t xml:space="preserve">. </w:t>
      </w:r>
      <w:hyperlink r:id="rId27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https://doi.org/10.1016/j.system.2025.103600</w:t>
        </w:r>
      </w:hyperlink>
    </w:p>
    <w:p w14:paraId="5206C4A2" w14:textId="77777777" w:rsidR="00B24BC1" w:rsidRDefault="00B24BC1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p w14:paraId="0E5E6B18" w14:textId="77777777" w:rsidR="000D4ECC" w:rsidRDefault="000D4ECC" w:rsidP="000D4ECC">
      <w:pPr>
        <w:pStyle w:val="EndNoteBibliography"/>
        <w:spacing w:after="0"/>
        <w:ind w:left="720" w:hanging="720"/>
      </w:pPr>
      <w:r w:rsidRPr="00B24BC1">
        <w:rPr>
          <w:rFonts w:ascii="Arial" w:hAnsi="Arial" w:cs="Arial"/>
          <w:sz w:val="24"/>
          <w:szCs w:val="24"/>
          <w:lang w:val="en-CA"/>
        </w:rPr>
        <w:t xml:space="preserve">Bulut, O., Beiting-Parrish, M., Casabianca, J. M., Slater, S. C., Jiao, H., Song, D., Ormerod, C. M., Fabiyi, D. G., Ivan, R., Walsh, C., Rios, O., Wilson, J., Yildirim-Erbasli, S. N., Wongvorachan, T., Liu, J. X., Tan, B. et Morilova, P. (2024). </w:t>
      </w:r>
      <w:r w:rsidRPr="00D7426D">
        <w:rPr>
          <w:rFonts w:ascii="Arial" w:hAnsi="Arial" w:cs="Arial"/>
          <w:i/>
          <w:sz w:val="24"/>
          <w:szCs w:val="24"/>
        </w:rPr>
        <w:t>The Rise of Artificial Intelligence in Educational Measurement: Opportunities and Ethical Challenges</w:t>
      </w:r>
      <w:r w:rsidRPr="00D7426D">
        <w:rPr>
          <w:rFonts w:ascii="Arial" w:hAnsi="Arial" w:cs="Arial"/>
          <w:sz w:val="24"/>
          <w:szCs w:val="24"/>
        </w:rPr>
        <w:t xml:space="preserve">. </w:t>
      </w:r>
      <w:hyperlink r:id="rId28" w:history="1">
        <w:r w:rsidRPr="00D7426D">
          <w:rPr>
            <w:rStyle w:val="Hyperlien"/>
            <w:rFonts w:ascii="Arial" w:hAnsi="Arial" w:cs="Arial"/>
            <w:sz w:val="24"/>
            <w:szCs w:val="24"/>
          </w:rPr>
          <w:t>http://arxiv.org/abs/2406.18900</w:t>
        </w:r>
      </w:hyperlink>
    </w:p>
    <w:p w14:paraId="34ADE607" w14:textId="77777777" w:rsidR="000D4ECC" w:rsidRDefault="000D4ECC" w:rsidP="00B24BC1">
      <w:pPr>
        <w:pStyle w:val="EndNoteBibliography"/>
        <w:spacing w:after="0"/>
        <w:ind w:left="720" w:hanging="720"/>
        <w:rPr>
          <w:rFonts w:ascii="Arial" w:hAnsi="Arial" w:cs="Arial"/>
          <w:b/>
          <w:bCs/>
          <w:color w:val="000000" w:themeColor="text1"/>
          <w:sz w:val="24"/>
          <w:szCs w:val="24"/>
          <w:lang w:val="fr-CA"/>
        </w:rPr>
      </w:pPr>
    </w:p>
    <w:sectPr w:rsidR="000D4ECC">
      <w:footerReference w:type="even" r:id="rId29"/>
      <w:footerReference w:type="default" r:id="rId3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782D" w14:textId="77777777" w:rsidR="00CA35B5" w:rsidRDefault="00CA35B5" w:rsidP="00CA35B5">
      <w:pPr>
        <w:spacing w:after="0" w:line="240" w:lineRule="auto"/>
      </w:pPr>
      <w:r>
        <w:separator/>
      </w:r>
    </w:p>
  </w:endnote>
  <w:endnote w:type="continuationSeparator" w:id="0">
    <w:p w14:paraId="0642D10F" w14:textId="77777777" w:rsidR="00CA35B5" w:rsidRDefault="00CA35B5" w:rsidP="00CA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63061683"/>
      <w:docPartObj>
        <w:docPartGallery w:val="Page Numbers (Bottom of Page)"/>
        <w:docPartUnique/>
      </w:docPartObj>
    </w:sdtPr>
    <w:sdtContent>
      <w:p w14:paraId="213F24F1" w14:textId="4EE01040" w:rsidR="00CA35B5" w:rsidRDefault="00CA35B5" w:rsidP="0056422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547B8236" w14:textId="77777777" w:rsidR="00CA35B5" w:rsidRDefault="00CA35B5" w:rsidP="00CA35B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64904279"/>
      <w:docPartObj>
        <w:docPartGallery w:val="Page Numbers (Bottom of Page)"/>
        <w:docPartUnique/>
      </w:docPartObj>
    </w:sdtPr>
    <w:sdtContent>
      <w:p w14:paraId="07B414B2" w14:textId="239477D4" w:rsidR="00CA35B5" w:rsidRDefault="00CA35B5" w:rsidP="0056422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A09093C" w14:textId="77777777" w:rsidR="00CA35B5" w:rsidRDefault="00CA35B5" w:rsidP="00CA35B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3DE2" w14:textId="77777777" w:rsidR="00CA35B5" w:rsidRDefault="00CA35B5" w:rsidP="00CA35B5">
      <w:pPr>
        <w:spacing w:after="0" w:line="240" w:lineRule="auto"/>
      </w:pPr>
      <w:r>
        <w:separator/>
      </w:r>
    </w:p>
  </w:footnote>
  <w:footnote w:type="continuationSeparator" w:id="0">
    <w:p w14:paraId="6A616AC2" w14:textId="77777777" w:rsidR="00CA35B5" w:rsidRDefault="00CA35B5" w:rsidP="00CA3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90C"/>
    <w:multiLevelType w:val="multilevel"/>
    <w:tmpl w:val="7F8CB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2786F"/>
    <w:multiLevelType w:val="multilevel"/>
    <w:tmpl w:val="AC8270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551E38"/>
    <w:multiLevelType w:val="hybridMultilevel"/>
    <w:tmpl w:val="CB1ED61C"/>
    <w:lvl w:ilvl="0" w:tplc="3F7A8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5483F"/>
    <w:multiLevelType w:val="multilevel"/>
    <w:tmpl w:val="AAD8A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65F6C"/>
    <w:multiLevelType w:val="multilevel"/>
    <w:tmpl w:val="C8668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bCs/>
        <w:i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E566BC"/>
    <w:multiLevelType w:val="hybridMultilevel"/>
    <w:tmpl w:val="1DD6EAD6"/>
    <w:lvl w:ilvl="0" w:tplc="4EB61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8173F"/>
    <w:multiLevelType w:val="multilevel"/>
    <w:tmpl w:val="0D7E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9C878A7"/>
    <w:multiLevelType w:val="multilevel"/>
    <w:tmpl w:val="009E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A3843A0"/>
    <w:multiLevelType w:val="hybridMultilevel"/>
    <w:tmpl w:val="F4BC8934"/>
    <w:lvl w:ilvl="0" w:tplc="7A2438BC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A2874"/>
    <w:multiLevelType w:val="multilevel"/>
    <w:tmpl w:val="A1F23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3673438">
    <w:abstractNumId w:val="2"/>
  </w:num>
  <w:num w:numId="2" w16cid:durableId="716782218">
    <w:abstractNumId w:val="2"/>
  </w:num>
  <w:num w:numId="3" w16cid:durableId="1791243896">
    <w:abstractNumId w:val="2"/>
  </w:num>
  <w:num w:numId="4" w16cid:durableId="563878128">
    <w:abstractNumId w:val="5"/>
  </w:num>
  <w:num w:numId="5" w16cid:durableId="1088189707">
    <w:abstractNumId w:val="5"/>
  </w:num>
  <w:num w:numId="6" w16cid:durableId="1042444762">
    <w:abstractNumId w:val="6"/>
  </w:num>
  <w:num w:numId="7" w16cid:durableId="460927626">
    <w:abstractNumId w:val="4"/>
  </w:num>
  <w:num w:numId="8" w16cid:durableId="559287219">
    <w:abstractNumId w:val="4"/>
  </w:num>
  <w:num w:numId="9" w16cid:durableId="913854729">
    <w:abstractNumId w:val="4"/>
  </w:num>
  <w:num w:numId="10" w16cid:durableId="543522447">
    <w:abstractNumId w:val="4"/>
  </w:num>
  <w:num w:numId="11" w16cid:durableId="1990204105">
    <w:abstractNumId w:val="1"/>
  </w:num>
  <w:num w:numId="12" w16cid:durableId="860313248">
    <w:abstractNumId w:val="7"/>
  </w:num>
  <w:num w:numId="13" w16cid:durableId="1388528083">
    <w:abstractNumId w:val="9"/>
  </w:num>
  <w:num w:numId="14" w16cid:durableId="839198504">
    <w:abstractNumId w:val="0"/>
  </w:num>
  <w:num w:numId="15" w16cid:durableId="1995646360">
    <w:abstractNumId w:val="3"/>
  </w:num>
  <w:num w:numId="16" w16cid:durableId="2140758740">
    <w:abstractNumId w:val="3"/>
  </w:num>
  <w:num w:numId="17" w16cid:durableId="3824453">
    <w:abstractNumId w:val="3"/>
  </w:num>
  <w:num w:numId="18" w16cid:durableId="1309750863">
    <w:abstractNumId w:val="8"/>
  </w:num>
  <w:num w:numId="19" w16cid:durableId="822158913">
    <w:abstractNumId w:val="8"/>
  </w:num>
  <w:num w:numId="20" w16cid:durableId="391587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C1"/>
    <w:rsid w:val="00003EC7"/>
    <w:rsid w:val="00015129"/>
    <w:rsid w:val="00034E14"/>
    <w:rsid w:val="00060519"/>
    <w:rsid w:val="000839EA"/>
    <w:rsid w:val="00093101"/>
    <w:rsid w:val="000D4ECC"/>
    <w:rsid w:val="000E21BE"/>
    <w:rsid w:val="000E31C0"/>
    <w:rsid w:val="000E4DDC"/>
    <w:rsid w:val="000F6F51"/>
    <w:rsid w:val="00171C4B"/>
    <w:rsid w:val="00185080"/>
    <w:rsid w:val="001E4070"/>
    <w:rsid w:val="00226C02"/>
    <w:rsid w:val="00250881"/>
    <w:rsid w:val="0025777A"/>
    <w:rsid w:val="00262061"/>
    <w:rsid w:val="00273064"/>
    <w:rsid w:val="0027492B"/>
    <w:rsid w:val="002A40F2"/>
    <w:rsid w:val="002B09C8"/>
    <w:rsid w:val="002D340C"/>
    <w:rsid w:val="002F0F31"/>
    <w:rsid w:val="003059C7"/>
    <w:rsid w:val="0035483D"/>
    <w:rsid w:val="003960A8"/>
    <w:rsid w:val="003E7BA6"/>
    <w:rsid w:val="00462FAE"/>
    <w:rsid w:val="00514398"/>
    <w:rsid w:val="00532475"/>
    <w:rsid w:val="00547CC4"/>
    <w:rsid w:val="005655B0"/>
    <w:rsid w:val="005A2197"/>
    <w:rsid w:val="005C1740"/>
    <w:rsid w:val="005F2FFC"/>
    <w:rsid w:val="006642BE"/>
    <w:rsid w:val="00696A09"/>
    <w:rsid w:val="006A6C47"/>
    <w:rsid w:val="006B2A04"/>
    <w:rsid w:val="006C4F22"/>
    <w:rsid w:val="006D4C01"/>
    <w:rsid w:val="006D70B3"/>
    <w:rsid w:val="006E535D"/>
    <w:rsid w:val="006F5EE5"/>
    <w:rsid w:val="007062A3"/>
    <w:rsid w:val="00717377"/>
    <w:rsid w:val="00774D5E"/>
    <w:rsid w:val="007E0F34"/>
    <w:rsid w:val="007E7FE6"/>
    <w:rsid w:val="00811182"/>
    <w:rsid w:val="00861156"/>
    <w:rsid w:val="00867F87"/>
    <w:rsid w:val="008A4008"/>
    <w:rsid w:val="008A7F62"/>
    <w:rsid w:val="008D2DC9"/>
    <w:rsid w:val="008D66F3"/>
    <w:rsid w:val="00913F54"/>
    <w:rsid w:val="009167E6"/>
    <w:rsid w:val="00926F6E"/>
    <w:rsid w:val="009312D0"/>
    <w:rsid w:val="009447CA"/>
    <w:rsid w:val="00963CAA"/>
    <w:rsid w:val="0099531E"/>
    <w:rsid w:val="009A3381"/>
    <w:rsid w:val="009B6706"/>
    <w:rsid w:val="00A21E08"/>
    <w:rsid w:val="00A350CD"/>
    <w:rsid w:val="00A729C9"/>
    <w:rsid w:val="00A8404C"/>
    <w:rsid w:val="00A900CD"/>
    <w:rsid w:val="00AA49C9"/>
    <w:rsid w:val="00AD1A14"/>
    <w:rsid w:val="00AE6943"/>
    <w:rsid w:val="00AF5EEC"/>
    <w:rsid w:val="00B24BC1"/>
    <w:rsid w:val="00B42162"/>
    <w:rsid w:val="00B515E9"/>
    <w:rsid w:val="00B73FC8"/>
    <w:rsid w:val="00B957E3"/>
    <w:rsid w:val="00B96B8E"/>
    <w:rsid w:val="00BB782B"/>
    <w:rsid w:val="00BF440F"/>
    <w:rsid w:val="00C02C23"/>
    <w:rsid w:val="00C177AC"/>
    <w:rsid w:val="00C44575"/>
    <w:rsid w:val="00C77FE4"/>
    <w:rsid w:val="00C90DDC"/>
    <w:rsid w:val="00C940CF"/>
    <w:rsid w:val="00CA306B"/>
    <w:rsid w:val="00CA35B5"/>
    <w:rsid w:val="00CF4294"/>
    <w:rsid w:val="00D11254"/>
    <w:rsid w:val="00DC060B"/>
    <w:rsid w:val="00DD798F"/>
    <w:rsid w:val="00DF0857"/>
    <w:rsid w:val="00E12809"/>
    <w:rsid w:val="00E22ACD"/>
    <w:rsid w:val="00E31A37"/>
    <w:rsid w:val="00E433B3"/>
    <w:rsid w:val="00E467DC"/>
    <w:rsid w:val="00E52E4A"/>
    <w:rsid w:val="00E605C3"/>
    <w:rsid w:val="00E8059A"/>
    <w:rsid w:val="00E95C5D"/>
    <w:rsid w:val="00E978A1"/>
    <w:rsid w:val="00EA1EB0"/>
    <w:rsid w:val="00EA5167"/>
    <w:rsid w:val="00F115D1"/>
    <w:rsid w:val="00FA2D12"/>
    <w:rsid w:val="00FA3D50"/>
    <w:rsid w:val="00F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E4F521"/>
  <w15:chartTrackingRefBased/>
  <w15:docId w15:val="{F71A77D9-2B5F-EA4B-BE6F-3D687A8B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BC1"/>
    <w:pPr>
      <w:spacing w:line="259" w:lineRule="auto"/>
    </w:pPr>
    <w:rPr>
      <w:rFonts w:eastAsia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85080"/>
    <w:pPr>
      <w:keepNext/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sz w:val="24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85080"/>
    <w:pPr>
      <w:keepNext/>
      <w:spacing w:before="120" w:after="120" w:line="240" w:lineRule="auto"/>
      <w:ind w:right="170"/>
      <w:outlineLvl w:val="1"/>
    </w:pPr>
    <w:rPr>
      <w:rFonts w:ascii="Arial" w:eastAsia="Times New Roman" w:hAnsi="Arial" w:cs="Times New Roman"/>
      <w:sz w:val="24"/>
      <w:szCs w:val="32"/>
      <w:u w:val="single"/>
      <w:lang w:eastAsia="x-none"/>
    </w:rPr>
  </w:style>
  <w:style w:type="paragraph" w:styleId="Titre3">
    <w:name w:val="heading 3"/>
    <w:basedOn w:val="Titre2"/>
    <w:next w:val="Normal"/>
    <w:link w:val="Titre3Car"/>
    <w:autoRedefine/>
    <w:uiPriority w:val="9"/>
    <w:unhideWhenUsed/>
    <w:qFormat/>
    <w:rsid w:val="00185080"/>
    <w:pPr>
      <w:ind w:right="0"/>
      <w:outlineLvl w:val="2"/>
    </w:pPr>
    <w:rPr>
      <w:i/>
      <w:szCs w:val="24"/>
      <w:u w:val="none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185080"/>
    <w:pPr>
      <w:ind w:right="510"/>
      <w:outlineLvl w:val="3"/>
    </w:pPr>
    <w:rPr>
      <w:szCs w:val="28"/>
      <w:u w:val="single"/>
    </w:rPr>
  </w:style>
  <w:style w:type="paragraph" w:styleId="Titre5">
    <w:name w:val="heading 5"/>
    <w:basedOn w:val="Titre4"/>
    <w:next w:val="Normal"/>
    <w:link w:val="Titre5Car"/>
    <w:autoRedefine/>
    <w:uiPriority w:val="9"/>
    <w:unhideWhenUsed/>
    <w:qFormat/>
    <w:rsid w:val="00185080"/>
    <w:pPr>
      <w:numPr>
        <w:numId w:val="78"/>
      </w:numPr>
      <w:tabs>
        <w:tab w:val="clear" w:pos="360"/>
      </w:tabs>
      <w:spacing w:before="0" w:after="0" w:line="360" w:lineRule="auto"/>
      <w:ind w:right="0"/>
      <w:outlineLvl w:val="4"/>
    </w:pPr>
    <w:rPr>
      <w:i w:val="0"/>
      <w:szCs w:val="26"/>
      <w:u w:val="non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4BC1"/>
    <w:pPr>
      <w:keepNext/>
      <w:keepLines/>
      <w:spacing w:before="40" w:after="0" w:line="36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fr-CA"/>
      <w14:ligatures w14:val="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4BC1"/>
    <w:pPr>
      <w:keepNext/>
      <w:keepLines/>
      <w:spacing w:before="40" w:after="0" w:line="36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eastAsia="fr-CA"/>
      <w14:ligatures w14:val="non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4BC1"/>
    <w:pPr>
      <w:keepNext/>
      <w:keepLines/>
      <w:spacing w:after="0" w:line="36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fr-CA"/>
      <w14:ligatures w14:val="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4BC1"/>
    <w:pPr>
      <w:keepNext/>
      <w:keepLines/>
      <w:spacing w:after="0" w:line="36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eastAsia="fr-CA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5080"/>
    <w:rPr>
      <w:rFonts w:ascii="Times New Roman" w:hAnsi="Times New Roman" w:cs="Times New Roman"/>
      <w:b/>
      <w:szCs w:val="32"/>
      <w:lang w:val="x-none" w:eastAsia="x-none"/>
    </w:rPr>
  </w:style>
  <w:style w:type="character" w:customStyle="1" w:styleId="Titre2Car">
    <w:name w:val="Titre 2 Car"/>
    <w:basedOn w:val="Policepardfaut"/>
    <w:link w:val="Titre2"/>
    <w:uiPriority w:val="9"/>
    <w:rsid w:val="00185080"/>
    <w:rPr>
      <w:rFonts w:ascii="Arial" w:hAnsi="Arial" w:cs="Times New Roman"/>
      <w:szCs w:val="32"/>
      <w:u w:val="single"/>
      <w:lang w:eastAsia="x-none"/>
    </w:rPr>
  </w:style>
  <w:style w:type="paragraph" w:customStyle="1" w:styleId="Style1">
    <w:name w:val="Style1"/>
    <w:basedOn w:val="Titre2"/>
    <w:autoRedefine/>
    <w:qFormat/>
    <w:rsid w:val="00F115D1"/>
    <w:rPr>
      <w:b/>
    </w:rPr>
  </w:style>
  <w:style w:type="character" w:customStyle="1" w:styleId="Titre3Car">
    <w:name w:val="Titre 3 Car"/>
    <w:basedOn w:val="Policepardfaut"/>
    <w:link w:val="Titre3"/>
    <w:uiPriority w:val="9"/>
    <w:rsid w:val="00185080"/>
    <w:rPr>
      <w:rFonts w:ascii="Arial" w:hAnsi="Arial" w:cs="Times New Roman"/>
      <w:i/>
      <w:lang w:eastAsia="x-none"/>
    </w:rPr>
  </w:style>
  <w:style w:type="character" w:customStyle="1" w:styleId="Titre4Car">
    <w:name w:val="Titre 4 Car"/>
    <w:basedOn w:val="Policepardfaut"/>
    <w:link w:val="Titre4"/>
    <w:uiPriority w:val="9"/>
    <w:rsid w:val="00185080"/>
    <w:rPr>
      <w:rFonts w:ascii="Arial" w:hAnsi="Arial" w:cs="Times New Roman"/>
      <w:i/>
      <w:szCs w:val="28"/>
      <w:u w:val="single"/>
      <w:lang w:eastAsia="x-none"/>
    </w:rPr>
  </w:style>
  <w:style w:type="character" w:customStyle="1" w:styleId="Titre5Car">
    <w:name w:val="Titre 5 Car"/>
    <w:basedOn w:val="Policepardfaut"/>
    <w:link w:val="Titre5"/>
    <w:uiPriority w:val="9"/>
    <w:rsid w:val="00185080"/>
    <w:rPr>
      <w:rFonts w:ascii="Arial" w:hAnsi="Arial" w:cs="Times New Roman"/>
      <w:szCs w:val="26"/>
      <w:lang w:eastAsia="x-none"/>
    </w:rPr>
  </w:style>
  <w:style w:type="character" w:customStyle="1" w:styleId="Titre6Car">
    <w:name w:val="Titre 6 Car"/>
    <w:basedOn w:val="Policepardfaut"/>
    <w:link w:val="Titre6"/>
    <w:uiPriority w:val="9"/>
    <w:semiHidden/>
    <w:rsid w:val="00B24BC1"/>
    <w:rPr>
      <w:rFonts w:eastAsiaTheme="majorEastAsia" w:cstheme="majorBidi"/>
      <w:i/>
      <w:iCs/>
      <w:color w:val="595959" w:themeColor="text1" w:themeTint="A6"/>
      <w:kern w:val="0"/>
      <w:lang w:eastAsia="fr-CA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B24BC1"/>
    <w:rPr>
      <w:rFonts w:eastAsiaTheme="majorEastAsia" w:cstheme="majorBidi"/>
      <w:color w:val="595959" w:themeColor="text1" w:themeTint="A6"/>
      <w:kern w:val="0"/>
      <w:lang w:eastAsia="fr-CA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B24BC1"/>
    <w:rPr>
      <w:rFonts w:eastAsiaTheme="majorEastAsia" w:cstheme="majorBidi"/>
      <w:i/>
      <w:iCs/>
      <w:color w:val="272727" w:themeColor="text1" w:themeTint="D8"/>
      <w:kern w:val="0"/>
      <w:lang w:eastAsia="fr-CA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B24BC1"/>
    <w:rPr>
      <w:rFonts w:eastAsiaTheme="majorEastAsia" w:cstheme="majorBidi"/>
      <w:color w:val="272727" w:themeColor="text1" w:themeTint="D8"/>
      <w:kern w:val="0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B24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fr-CA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B24BC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CA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4BC1"/>
    <w:pPr>
      <w:numPr>
        <w:ilvl w:val="1"/>
      </w:numPr>
      <w:spacing w:line="36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CA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B24BC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CA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B24BC1"/>
    <w:pPr>
      <w:spacing w:before="160" w:line="360" w:lineRule="auto"/>
      <w:jc w:val="center"/>
    </w:pPr>
    <w:rPr>
      <w:rFonts w:ascii="Arial" w:eastAsia="Times New Roman" w:hAnsi="Arial" w:cs="Times New Roman"/>
      <w:i/>
      <w:iCs/>
      <w:color w:val="404040" w:themeColor="text1" w:themeTint="BF"/>
      <w:kern w:val="0"/>
      <w:sz w:val="24"/>
      <w:szCs w:val="24"/>
      <w:lang w:eastAsia="fr-CA"/>
      <w14:ligatures w14:val="none"/>
    </w:rPr>
  </w:style>
  <w:style w:type="character" w:customStyle="1" w:styleId="CitationCar">
    <w:name w:val="Citation Car"/>
    <w:basedOn w:val="Policepardfaut"/>
    <w:link w:val="Citation"/>
    <w:uiPriority w:val="29"/>
    <w:rsid w:val="00B24BC1"/>
    <w:rPr>
      <w:rFonts w:ascii="Arial" w:hAnsi="Arial" w:cs="Times New Roman"/>
      <w:i/>
      <w:iCs/>
      <w:color w:val="404040" w:themeColor="text1" w:themeTint="BF"/>
      <w:kern w:val="0"/>
      <w:lang w:eastAsia="fr-CA"/>
      <w14:ligatures w14:val="none"/>
    </w:rPr>
  </w:style>
  <w:style w:type="paragraph" w:styleId="Paragraphedeliste">
    <w:name w:val="List Paragraph"/>
    <w:basedOn w:val="Normal"/>
    <w:uiPriority w:val="34"/>
    <w:qFormat/>
    <w:rsid w:val="00B24BC1"/>
    <w:pPr>
      <w:spacing w:after="0" w:line="36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4"/>
      <w:lang w:eastAsia="fr-CA"/>
      <w14:ligatures w14:val="none"/>
    </w:rPr>
  </w:style>
  <w:style w:type="character" w:styleId="Accentuationintense">
    <w:name w:val="Intense Emphasis"/>
    <w:basedOn w:val="Policepardfaut"/>
    <w:uiPriority w:val="21"/>
    <w:qFormat/>
    <w:rsid w:val="00B24B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4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Arial" w:eastAsia="Times New Roman" w:hAnsi="Arial" w:cs="Times New Roman"/>
      <w:i/>
      <w:iCs/>
      <w:color w:val="0F4761" w:themeColor="accent1" w:themeShade="BF"/>
      <w:kern w:val="0"/>
      <w:sz w:val="24"/>
      <w:szCs w:val="24"/>
      <w:lang w:eastAsia="fr-CA"/>
      <w14:ligatures w14:val="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4BC1"/>
    <w:rPr>
      <w:rFonts w:ascii="Arial" w:hAnsi="Arial" w:cs="Times New Roman"/>
      <w:i/>
      <w:iCs/>
      <w:color w:val="0F4761" w:themeColor="accent1" w:themeShade="BF"/>
      <w:kern w:val="0"/>
      <w:lang w:eastAsia="fr-CA"/>
      <w14:ligatures w14:val="none"/>
    </w:rPr>
  </w:style>
  <w:style w:type="character" w:styleId="Rfrenceintense">
    <w:name w:val="Intense Reference"/>
    <w:basedOn w:val="Policepardfaut"/>
    <w:uiPriority w:val="32"/>
    <w:qFormat/>
    <w:rsid w:val="00B24BC1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B24BC1"/>
    <w:rPr>
      <w:color w:val="467886" w:themeColor="hyperlink"/>
      <w:u w:val="single"/>
    </w:rPr>
  </w:style>
  <w:style w:type="paragraph" w:customStyle="1" w:styleId="EndNoteBibliography">
    <w:name w:val="EndNote Bibliography"/>
    <w:basedOn w:val="Normal"/>
    <w:link w:val="EndNoteBibliographyCar"/>
    <w:rsid w:val="00B24BC1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B24BC1"/>
    <w:rPr>
      <w:rFonts w:ascii="Calibri" w:eastAsiaTheme="minorHAnsi" w:hAnsi="Calibri" w:cs="Calibri"/>
      <w:noProof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A35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5B5"/>
    <w:rPr>
      <w:rFonts w:eastAsiaTheme="minorHAnsi"/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CA3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031-92534-4" TargetMode="External"/><Relationship Id="rId13" Type="http://schemas.openxmlformats.org/officeDocument/2006/relationships/hyperlink" Target="https://doi.org/10.1007/s10805-025-09642-y" TargetMode="External"/><Relationship Id="rId18" Type="http://schemas.openxmlformats.org/officeDocument/2006/relationships/hyperlink" Target="https://doi.org/10.1016/j.asw.2005.12.001" TargetMode="External"/><Relationship Id="rId26" Type="http://schemas.openxmlformats.org/officeDocument/2006/relationships/hyperlink" Target="https://doi.org/10.1109/ICKECS61492.2024.106164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5688/ajpe8850" TargetMode="External"/><Relationship Id="rId7" Type="http://schemas.openxmlformats.org/officeDocument/2006/relationships/hyperlink" Target="https://doi.org/https://doi.org/10.1007/978-3-031-18880-0" TargetMode="External"/><Relationship Id="rId12" Type="http://schemas.openxmlformats.org/officeDocument/2006/relationships/hyperlink" Target="https://doi.org/10.3390/educsci13070692" TargetMode="External"/><Relationship Id="rId17" Type="http://schemas.openxmlformats.org/officeDocument/2006/relationships/hyperlink" Target="https://doi.org/10.1080/10447318.2024.2338330" TargetMode="External"/><Relationship Id="rId25" Type="http://schemas.openxmlformats.org/officeDocument/2006/relationships/hyperlink" Target="https://doi.org/10.1080/14703297.2024.23904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stueduc.2024.101395" TargetMode="External"/><Relationship Id="rId20" Type="http://schemas.openxmlformats.org/officeDocument/2006/relationships/hyperlink" Target="https://doi.org/10.1080/00098655.2017.1304067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caeai.2023.100179" TargetMode="External"/><Relationship Id="rId24" Type="http://schemas.openxmlformats.org/officeDocument/2006/relationships/hyperlink" Target="https://www.cse.gouv.qc.ca/wp-content/uploads/2024/04/50-0566-SO-IA-generative-enseignement-superieur-enjeux-ethiques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07/s11528-022-00715-y" TargetMode="External"/><Relationship Id="rId23" Type="http://schemas.openxmlformats.org/officeDocument/2006/relationships/hyperlink" Target="https://doi.org/10.1016/j.jiixd.2023.10.007" TargetMode="External"/><Relationship Id="rId28" Type="http://schemas.openxmlformats.org/officeDocument/2006/relationships/hyperlink" Target="http://arxiv.org/abs/2406.18900" TargetMode="External"/><Relationship Id="rId10" Type="http://schemas.openxmlformats.org/officeDocument/2006/relationships/hyperlink" Target="https://doi.org/10.1080/2331186X.2024.2448066" TargetMode="External"/><Relationship Id="rId19" Type="http://schemas.openxmlformats.org/officeDocument/2006/relationships/hyperlink" Target="https://doi.org/10.3917/lfa.229.0067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educsci13121216" TargetMode="External"/><Relationship Id="rId14" Type="http://schemas.openxmlformats.org/officeDocument/2006/relationships/hyperlink" Target="https://doi.org/10.3390/educsci14111187" TargetMode="External"/><Relationship Id="rId22" Type="http://schemas.openxmlformats.org/officeDocument/2006/relationships/hyperlink" Target="https://doi.org/10.1080/14703297.2024.2390486" TargetMode="External"/><Relationship Id="rId27" Type="http://schemas.openxmlformats.org/officeDocument/2006/relationships/hyperlink" Target="https://doi.org/10.1016/j.system.2025.103600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1158</Words>
  <Characters>6371</Characters>
  <Application>Microsoft Office Word</Application>
  <DocSecurity>0</DocSecurity>
  <Lines>53</Lines>
  <Paragraphs>15</Paragraphs>
  <ScaleCrop>false</ScaleCrop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Peters</dc:creator>
  <cp:keywords/>
  <dc:description/>
  <cp:lastModifiedBy>Martine Peters</cp:lastModifiedBy>
  <cp:revision>24</cp:revision>
  <dcterms:created xsi:type="dcterms:W3CDTF">2025-12-28T16:56:00Z</dcterms:created>
  <dcterms:modified xsi:type="dcterms:W3CDTF">2025-12-28T17:18:00Z</dcterms:modified>
</cp:coreProperties>
</file>